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Памятка о добровольном пожертвовании (для родителей).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Добровольными пожертвованиями физических и (или) юридических лиц являются добровольные взносы родителей, спонсорская помощь организаций, учреждений, предприятий, любая добровольная деятельность граждан или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принуждение граждан или юридических лиц в оказании благотворительной помощи в каких-либо формах, в частности путем: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Arial" w:hAnsi="Times New Roman" w:cs="Times New Roman"/>
          <w:bCs/>
          <w:iCs/>
          <w:caps/>
          <w:snapToGrid w:val="0"/>
          <w:color w:val="000000"/>
          <w:sz w:val="28"/>
          <w:szCs w:val="28"/>
          <w:lang w:eastAsia="zh-CN" w:bidi="hi-IN"/>
        </w:rPr>
        <w:t>•             </w:t>
      </w: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C5158">
        <w:rPr>
          <w:rFonts w:ascii="Times New Roman" w:eastAsia="SimSun" w:hAnsi="Times New Roman" w:cs="Times New Roman"/>
          <w:bCs/>
          <w:iCs/>
          <w:caps/>
          <w:snapToGrid w:val="0"/>
          <w:color w:val="000000"/>
          <w:sz w:val="28"/>
          <w:szCs w:val="28"/>
          <w:lang w:eastAsia="zh-CN" w:bidi="hi-IN"/>
        </w:rPr>
        <w:t>направления письменных обращений, в том числе средствами мобильной связи, телефонных звонков родителям воспитанников о необходимости внесения денежных средств и (или) товаров и материалов;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Arial" w:hAnsi="Times New Roman" w:cs="Times New Roman"/>
          <w:bCs/>
          <w:iCs/>
          <w:caps/>
          <w:snapToGrid w:val="0"/>
          <w:color w:val="000000"/>
          <w:sz w:val="28"/>
          <w:szCs w:val="28"/>
          <w:lang w:eastAsia="zh-CN" w:bidi="hi-IN"/>
        </w:rPr>
        <w:t>•             </w:t>
      </w: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C5158">
        <w:rPr>
          <w:rFonts w:ascii="Times New Roman" w:eastAsia="SimSun" w:hAnsi="Times New Roman" w:cs="Times New Roman"/>
          <w:bCs/>
          <w:iCs/>
          <w:caps/>
          <w:snapToGrid w:val="0"/>
          <w:color w:val="000000"/>
          <w:sz w:val="28"/>
          <w:szCs w:val="28"/>
          <w:lang w:eastAsia="zh-CN" w:bidi="hi-IN"/>
        </w:rPr>
        <w:t>принятия решений родительских собраний, обязывающих внесение денежных средств.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При намерении оказать благотворительную помощь физическое или юридическое лицо информирует Учреждение о целях её осуществления (на текущий ремонт, укрепление материально-технической базы, проведение мероприятий по укреплению здоровья детей и т.д.). Расходование привлеченных средств образовательным учреждением должно производиться в соответствии с целевым назначением взноса. Использование привлеченных средств должно осуществляться на основе сметы расходов, трудового соглашения и актов выполненных работ.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средств - производится на основании письменного заявлен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благотворителя на имя директора ГБПОУ «Ипатовский многопрофильный техникум» и</w:t>
      </w: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договора пожертвования, заключаемого в установленном порядке, в котором должны быть отражены: сумма взноса; конкретная цель использования средств; реквизиты благотворителя; дата внесения средств. Согласно статьям 1, 420, 421 Гражданского кодекса РФ физические и юридические лица свободны в установлении своих прав и обязанностей на основе договора и в определении любых условий договора, не противоречащих законодательству. Понуждение к заключению договора не допускается. Таким образом, заключение договора пожертвования является добровольным волеизъявлением сторон-участников договора. </w:t>
      </w:r>
      <w:proofErr w:type="gramStart"/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Поэтому, если гражданин (родитель) по тем или иным причинам не хочет (не может) делать </w:t>
      </w: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пожертвование (оказать помощь) образовательному учреждению, то он имеет полное право не делать этого, даже если решение о пожертвовании (об оказании помощи) принималось большинством голосов на заседании органа самоуправления образовательного учреждения (родительский комитет, попечительский совет, родительское собрание), и никто - ни родительский комитет, ни воспитатель, ни руководитель образовательного</w:t>
      </w:r>
      <w:proofErr w:type="gramEnd"/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 - не могут его заставить.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Пожертвованием согласно статье 582 Гражданского кодекса РФ признается дарение вещи или права в общеполезных целях. По договору пожертвования одна сторона безвозмездно передает или обязуется передать другой стороне вещь в собственность или имущественное право (требование) к себе или к третьему лицу в общеполезных целях. Исходя из норм статей 128- 130 ГК РФ предметом пожертвования могут быть как недвижимые вещи, так и движимые вещи.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строительства, а также воздушные и морские суда, суда морского плавания. К движимому имуществу относятся вещи, не относящиеся к недвижимости, включая деньги и ценные бумаги. Таким образом, пожертвование денежной суммы соответствует действующему законодательству.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 </w:t>
      </w: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собственности, с обязательным отражением в учетных регистрах. При передаче денежных взносов по безналичному расчету в платежном документе должно быть указано целевое назначение взноса. Добровольные пожертвования предприятий, организаций и учреждений, денежная помощь родителей вносятс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через учреждения банков ГБПОУ «Ипатовский многопрофильный техникум»</w:t>
      </w: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должны учитываться на текущем счете по специальным средствам с указанием целевого назначения взноса.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Пунктом 2 статьи 251 Налогового кодекса РФ определено, что к целевым поступлениям, не учитываемым в целях определения налоговой базы, относятся: любые целевые поступления из бюджета бюджетополучателям; целевые поступления на содержание некоммерческих организаций и ведение ими уставной деятельности, поступившие безвозмездно от других организаций и (или) физических лиц. Таким образом, не облагаются налогом на прибыль средства, поступившие безвозмездно от других организаций и физических лиц, и поступления в виде пожертвования, полученные государственным, муниципальными, негосударственными образовательными учреждениями, имеющими лицензию на права ведения образовательной </w:t>
      </w: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деятельности, на ведение уставной деятельности.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Органы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ежегодный публичный отчет о привлечении и расходовании дополнительных финансовых средств. Данная информация в обязательном порядке должна размещаться на официальном сайте образовательного учреждения.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 </w:t>
      </w: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Ответственность за целевое использование добровольных пожертвований несет руководитель образовательного учреждения.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 </w:t>
      </w: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Договор пожертвования может содержать конкретное условие использования имущества по определенному жертвователем назначению, а может и не содержать такого условия. </w:t>
      </w:r>
      <w:proofErr w:type="gramStart"/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случае, пожертвованное имущество может использоваться одаряемым в общеполезных целях в соответствии с назначением имущества.</w:t>
      </w:r>
      <w:proofErr w:type="gramEnd"/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принятие пожертвования не требуется чьего-либо согласия или разрешения. Договор пожертвования, заключенный с нарушением установленных запретов, не действителен как не соответствующий закону (статья 168 ГК РФ).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статье 574 ГК РФ пожертвование может быть совершено в устной форме, если жертвователями являются физические лица, а также, если жертвователь - юридическое лицо и сумма пожертвованного имущества не превышает пяти установленных законом минимальных </w:t>
      </w:r>
      <w:proofErr w:type="gramStart"/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размеров оплаты труда</w:t>
      </w:r>
      <w:proofErr w:type="gramEnd"/>
      <w:r w:rsidRPr="00EC5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Таким образом, наиболее распространенный вариант принятия пожертвований от физических лиц путем перевода последними денежных средств на лицевой счет бюджетного учреждения может быть заключен в устной форме. Назначение использования имущества может быть указано жертвователем в графе «назначение платежа» при использовании форм банковского перевода. </w:t>
      </w:r>
      <w:r w:rsidRPr="00E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5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 </w:t>
      </w:r>
    </w:p>
    <w:p w:rsidR="00EC5158" w:rsidRPr="00EC5158" w:rsidRDefault="00EC5158" w:rsidP="00EC5158">
      <w:pPr>
        <w:widowControl w:val="0"/>
        <w:autoSpaceDE w:val="0"/>
        <w:autoSpaceDN w:val="0"/>
        <w:adjustRightInd w:val="0"/>
        <w:spacing w:before="100" w:beforeAutospacing="1"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5158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В том случае, если под видом добровольных пожертвований сотрудниками или представителями родительской общественности Учреждения допускаются факты принуждения к участию в «благотворительной деятельности» Вы имеете право обратиться с жалобой</w:t>
      </w:r>
    </w:p>
    <w:p w:rsidR="00F71426" w:rsidRPr="00EC5158" w:rsidRDefault="00F71426">
      <w:pPr>
        <w:rPr>
          <w:rFonts w:ascii="Times New Roman" w:hAnsi="Times New Roman" w:cs="Times New Roman"/>
          <w:sz w:val="28"/>
          <w:szCs w:val="28"/>
        </w:rPr>
      </w:pPr>
    </w:p>
    <w:sectPr w:rsidR="00F71426" w:rsidRPr="00EC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58"/>
    <w:rsid w:val="00EC5158"/>
    <w:rsid w:val="00F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364E-E874-438D-89BD-D74CBDAD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2016-01-14T04:55:00Z</dcterms:created>
  <dcterms:modified xsi:type="dcterms:W3CDTF">2016-01-14T05:03:00Z</dcterms:modified>
</cp:coreProperties>
</file>